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Galette des rois en maternelle : guide enseignant</w:t>
      </w:r>
    </w:p>
    <w:p>
      <w:r>
        <w:t>Séquence de huit séances en PS, MS et GS. Ressource originale de Prépare Mes Cours, mise à jour le 23/10/2026. Modifiez ce document pour l’adapter à votre classe.</w:t>
      </w:r>
    </w:p>
    <w:p>
      <w:pPr>
        <w:pStyle w:val="Heading1"/>
      </w:pPr>
      <w:r>
        <w:t>Ce que dit le programme de maternelle 2026 pour une séquence galette</w:t>
      </w:r>
    </w:p>
    <w:p>
      <w:r>
        <w:rPr>
          <w:b w:val="0"/>
        </w:rPr>
        <w:t>Le programme de l’école maternelle en vigueur à la rentrée 2026 a été fixé par l’arrêté du 16 avril 2026, publié au BO n° 19 du 7 mai 2026. Il s’applique à la rentrée 2026-2027 et abroge l’arrêté de 2015. Le langage et les premiers outils mathématiques reprennent le texte du BO n° 41 du 31 octobre 2024, appliqué depuis la rentrée 2025. Le programme consolidé d’Éduscol réunit les deux textes.</w:t>
      </w:r>
    </w:p>
    <w:p>
      <w:r>
        <w:rPr>
          <w:b w:val="0"/>
        </w:rPr>
        <w:t>Les enseignements sont « structurés en six domaines d’apprentissage », tous parcourus ici :</w:t>
      </w:r>
    </w:p>
    <w:p>
      <w:pPr>
        <w:pStyle w:val="ListBullet"/>
      </w:pPr>
      <w:r>
        <w:rPr>
          <w:b w:val="0"/>
        </w:rPr>
        <w:t>Le développement et la structuration du langage oral et écrit ;</w:t>
      </w:r>
    </w:p>
    <w:p>
      <w:pPr>
        <w:pStyle w:val="ListBullet"/>
      </w:pPr>
      <w:r>
        <w:rPr>
          <w:b w:val="0"/>
        </w:rPr>
        <w:t>Agir, s’exprimer, comprendre à travers les activités physiques ;</w:t>
      </w:r>
    </w:p>
    <w:p>
      <w:pPr>
        <w:pStyle w:val="ListBullet"/>
      </w:pPr>
      <w:r>
        <w:rPr>
          <w:b w:val="0"/>
        </w:rPr>
        <w:t>Agir, s’exprimer, comprendre à travers les activités artistiques ;</w:t>
      </w:r>
    </w:p>
    <w:p>
      <w:pPr>
        <w:pStyle w:val="ListBullet"/>
      </w:pPr>
      <w:r>
        <w:rPr>
          <w:b w:val="0"/>
        </w:rPr>
        <w:t>L’acquisition des premiers outils mathématiques ;</w:t>
      </w:r>
    </w:p>
    <w:p>
      <w:pPr>
        <w:pStyle w:val="ListBullet"/>
      </w:pPr>
      <w:r>
        <w:rPr>
          <w:b w:val="0"/>
        </w:rPr>
        <w:t>Se repérer dans le temps et l’espace ;</w:t>
      </w:r>
    </w:p>
    <w:p>
      <w:pPr>
        <w:pStyle w:val="ListBullet"/>
      </w:pPr>
      <w:r>
        <w:rPr>
          <w:b w:val="0"/>
        </w:rPr>
        <w:t>Découvrir le monde du vivant, de la matière et des objets.</w:t>
      </w:r>
    </w:p>
    <w:p>
      <w:r>
        <w:rPr>
          <w:b w:val="0"/>
        </w:rPr>
        <w:t>L’éducation à la vie affective et relationnelle (EVAR) s’y ajoute, sans être un septième domaine. Les repères d’âge valent « ou dès que les apprentissages précédents ont pu être observés » : PS ≈ avant 4 ans, MS ≈ à partir de 4 ans, GS ≈ à partir de 5 ans ; le programme raisonne par âge et par acquis.</w:t>
      </w:r>
    </w:p>
    <w:p>
      <w:r>
        <w:rPr>
          <w:b w:val="0"/>
        </w:rPr>
        <w:t>Quatre principes guident la séquence :</w:t>
      </w:r>
    </w:p>
    <w:p>
      <w:pPr>
        <w:pStyle w:val="ListBullet"/>
      </w:pPr>
      <w:r>
        <w:rPr>
          <w:b w:val="0"/>
        </w:rPr>
        <w:t>diversifier les exercices « en limitant le recours aux fiches » : les kits sont du matériel ;</w:t>
      </w:r>
    </w:p>
    <w:p>
      <w:pPr>
        <w:pStyle w:val="ListBullet"/>
      </w:pPr>
      <w:r>
        <w:rPr>
          <w:b w:val="0"/>
        </w:rPr>
        <w:t>l’éducation physique dure « de trente à quarante-cinq minutes » par jour et « six à huit séances représentent toutefois un nombre minimum » pour un module : le jeu de la galette habille une séance du module en cours ;</w:t>
      </w:r>
    </w:p>
    <w:p>
      <w:pPr>
        <w:pStyle w:val="ListBullet"/>
      </w:pPr>
      <w:r>
        <w:rPr>
          <w:b w:val="0"/>
        </w:rPr>
        <w:t>« les problèmes de réunion sont plus accessibles que ceux de groupement ou de partage » : le partage se fait avec du matériel ;</w:t>
      </w:r>
    </w:p>
    <w:p>
      <w:pPr>
        <w:pStyle w:val="ListBullet"/>
      </w:pPr>
      <w:r>
        <w:rPr>
          <w:b w:val="0"/>
        </w:rPr>
        <w:t>les jeux « sont structurés et visent explicitement des apprentissages spécifiques » : chaque jeu affiche son objectif.</w:t>
      </w:r>
    </w:p>
    <w:p>
      <w:r>
        <w:rPr>
          <w:b w:val="0"/>
        </w:rPr>
        <w:t>Les tableaux citent l’objectif officiel, raccourci par « […] » si besoin, avec la page (imprimée pour le consolidé, du PDF pour l’annexe). Un exemple de réussite est précédé du mot « Exemple » ; pris dans une autre situation, il devient un « exemple réinvesti ». Pour la placer dans l’année : notre programmation maternelle 2026-2027 et notre emploi du temps de maternelle.</w:t>
      </w:r>
    </w:p>
    <w:p>
      <w:pPr>
        <w:pStyle w:val="Heading1"/>
      </w:pPr>
      <w:r>
        <w:t>La séquence en huit séances, du 4 au 15 janvier 2027</w:t>
      </w:r>
    </w:p>
    <w:p>
      <w:r>
        <w:rPr>
          <w:b w:val="0"/>
        </w:rPr>
        <w:t>C’est la reprise le lundi 4 janvier 2027 dans les zones A, B et C et en Corse, d’après le calendrier scolaire officiel. Jusqu’au vendredi 15 janvier 2027, cela fait huit jours de classe en semaine de quatre jours. Mayotte et la Polynésie reprennent le lundi 11 janvier 2027 ; ailleurs en outre-mer, voyez le calendrier de l’académie. Ce plan est un exemple, pas une norme.</w:t>
      </w:r>
    </w:p>
    <w:p>
      <w:pPr>
        <w:pStyle w:val="ListNumber"/>
      </w:pPr>
      <w:r>
        <w:rPr>
          <w:b/>
        </w:rPr>
        <w:t>Découvrir l’album et les mots de la galette</w:t>
      </w:r>
      <w:r>
        <w:rPr>
          <w:b w:val="0"/>
        </w:rPr>
        <w:t xml:space="preserve"> : lecture, premiers mots du corpus, affichage de la recette.</w:t>
      </w:r>
    </w:p>
    <w:p>
      <w:pPr>
        <w:pStyle w:val="ListNumber"/>
      </w:pPr>
      <w:r>
        <w:rPr>
          <w:b/>
        </w:rPr>
        <w:t>Raconter avec les marottes et le tapis d’histoire</w:t>
      </w:r>
      <w:r>
        <w:rPr>
          <w:b w:val="0"/>
        </w:rPr>
        <w:t xml:space="preserve"> : relecture, rôles des animaux, comptine.</w:t>
      </w:r>
    </w:p>
    <w:p>
      <w:pPr>
        <w:pStyle w:val="ListNumber"/>
      </w:pPr>
      <w:r>
        <w:rPr>
          <w:b/>
        </w:rPr>
        <w:t>Commencer la couronne et jouer à la galette qui s’échappe</w:t>
      </w:r>
      <w:r>
        <w:rPr>
          <w:b w:val="0"/>
        </w:rPr>
        <w:t xml:space="preserve"> : gestes et outils ; jeu collectif.</w:t>
      </w:r>
    </w:p>
    <w:p>
      <w:pPr>
        <w:pStyle w:val="ListNumber"/>
      </w:pPr>
      <w:r>
        <w:rPr>
          <w:b/>
        </w:rPr>
        <w:t>Lire la recette et préparer le matériel</w:t>
      </w:r>
      <w:r>
        <w:rPr>
          <w:b w:val="0"/>
        </w:rPr>
        <w:t xml:space="preserve"> : recette illustrée, comparaison de masses en MS et GS, bols.</w:t>
      </w:r>
    </w:p>
    <w:p>
      <w:pPr>
        <w:pStyle w:val="ListNumber"/>
      </w:pPr>
      <w:r>
        <w:rPr>
          <w:b/>
        </w:rPr>
        <w:t>Réaliser la galette avec l’adulte</w:t>
      </w:r>
      <w:r>
        <w:rPr>
          <w:b w:val="0"/>
        </w:rPr>
        <w:t xml:space="preserve"> : mélanger, étaler, décorer ; cuisson par l’adulte seul.</w:t>
      </w:r>
    </w:p>
    <w:p>
      <w:pPr>
        <w:pStyle w:val="ListNumber"/>
      </w:pPr>
      <w:r>
        <w:rPr>
          <w:b/>
        </w:rPr>
        <w:t>Partager la galette et jouer sur le plateau</w:t>
      </w:r>
      <w:r>
        <w:rPr>
          <w:b w:val="0"/>
        </w:rPr>
        <w:t xml:space="preserve"> : parts en carton, jeu du chemin de la galette.</w:t>
      </w:r>
    </w:p>
    <w:p>
      <w:pPr>
        <w:pStyle w:val="ListNumber"/>
      </w:pPr>
      <w:r>
        <w:rPr>
          <w:b/>
        </w:rPr>
        <w:t>Terminer la couronne et remettre le temps en ordre</w:t>
      </w:r>
      <w:r>
        <w:rPr>
          <w:b w:val="0"/>
        </w:rPr>
        <w:t xml:space="preserve"> : en PS, trois images de l’histoire à ordonner ; en MS, raconter la recette avec « au début, ensuite, pour finir » ; en GS, ordonner les photos de la recette et dicter les étapes à l’adulte.</w:t>
      </w:r>
    </w:p>
    <w:p>
      <w:pPr>
        <w:pStyle w:val="ListNumber"/>
      </w:pPr>
      <w:r>
        <w:rPr>
          <w:b/>
        </w:rPr>
        <w:t>Fêter la galette en classe</w:t>
      </w:r>
      <w:r>
        <w:rPr>
          <w:b w:val="0"/>
        </w:rPr>
        <w:t xml:space="preserve"> : partage réel, roi ou reine selon la règle de la classe, trace collective.</w:t>
      </w:r>
    </w:p>
    <w:p>
      <w:r>
        <w:rPr>
          <w:b w:val="0"/>
        </w:rPr>
        <w:t>Version courte : séances 1, 3, 5, 6 et 8. Faites tourner les ateliers pour que chacun rencontre plusieurs fois l’objectif (voir nos exemples d’objectifs pédagogiques) ; pour la structure, voyez notre modèle de séquence pédagogique.</w:t>
      </w:r>
    </w:p>
    <w:p>
      <w:pPr>
        <w:pStyle w:val="Heading1"/>
      </w:pPr>
      <w:r>
        <w:t>Le développement et la structuration du langage oral et écrit</w:t>
      </w:r>
    </w:p>
    <w:p>
      <w:r>
        <w:rPr>
          <w:b w:val="0"/>
        </w:rPr>
        <w:t>L’album de référence est « Roule Galette », racontée par Natha Caputo, imagerie de Pierre Belvès, Flammarion, 1950, collection « Albums du Père Castor » (notice de la BnF). Réédition Père Castor en 2024 (notice). En une phrase : une galette s’échappe et file devant des animaux qui voudraient la goûter, jusqu’au renard qui l’attrape par la ruse. Nous ne reproduisons ni le texte ni les images de l’album. Citations : consolidé (BO n° 41).</w:t>
      </w:r>
    </w:p>
    <w:p>
      <w:pPr>
        <w:pStyle w:val="Heading2"/>
      </w:pPr>
      <w:r>
        <w:t>En petite section (avant 4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Écouter l’album, nommer les personnages, raconter avec une marotte</w:t>
            </w:r>
          </w:p>
        </w:tc>
        <w:tc>
          <w:tcPr>
            <w:tcW w:type="dxa" w:w="3324"/>
          </w:tcPr>
          <w:p>
            <w:r>
              <w:rPr>
                <w:b w:val="0"/>
              </w:rPr>
              <w:t>« Reconnaitre un personnage, le nommer et le situer dans les illustrations. » Exemple : « Utiliser une marotte et raconter ce que le personnage fait dans chacun des albums. »</w:t>
            </w:r>
          </w:p>
        </w:tc>
        <w:tc>
          <w:tcPr>
            <w:tcW w:type="dxa" w:w="3324"/>
          </w:tcPr>
          <w:p>
            <w:r>
              <w:rPr>
                <w:b w:val="0"/>
              </w:rPr>
              <w:t>p. 16</w:t>
            </w:r>
          </w:p>
        </w:tc>
      </w:tr>
      <w:tr>
        <w:tc>
          <w:tcPr>
            <w:tcW w:type="dxa" w:w="3324"/>
          </w:tcPr>
          <w:p>
            <w:r>
              <w:rPr>
                <w:b w:val="0"/>
              </w:rPr>
              <w:t>Corpus de la galette : bol, cuillère, rouleau, œuf, beurre, sucre</w:t>
            </w:r>
          </w:p>
        </w:tc>
        <w:tc>
          <w:tcPr>
            <w:tcW w:type="dxa" w:w="3324"/>
          </w:tcPr>
          <w:p>
            <w:r>
              <w:rPr>
                <w:b w:val="0"/>
              </w:rPr>
              <w:t>« Comprendre, mémoriser, réemployer les mots des corpus enseignés (2 par période). »</w:t>
            </w:r>
          </w:p>
        </w:tc>
        <w:tc>
          <w:tcPr>
            <w:tcW w:type="dxa" w:w="3324"/>
          </w:tcPr>
          <w:p>
            <w:r>
              <w:rPr>
                <w:b w:val="0"/>
              </w:rPr>
              <w:t>p. 7</w:t>
            </w:r>
          </w:p>
        </w:tc>
      </w:tr>
      <w:tr>
        <w:tc>
          <w:tcPr>
            <w:tcW w:type="dxa" w:w="3324"/>
          </w:tcPr>
          <w:p>
            <w:r>
              <w:rPr>
                <w:b w:val="0"/>
              </w:rPr>
              <w:t>Dire la comptine de la galette avec les autres</w:t>
            </w:r>
          </w:p>
        </w:tc>
        <w:tc>
          <w:tcPr>
            <w:tcW w:type="dxa" w:w="3324"/>
          </w:tcPr>
          <w:p>
            <w:r>
              <w:rPr>
                <w:b w:val="0"/>
              </w:rPr>
              <w:t>« Prendre part à l’oralisation d’un court texte mémorisé. »</w:t>
            </w:r>
          </w:p>
        </w:tc>
        <w:tc>
          <w:tcPr>
            <w:tcW w:type="dxa" w:w="3324"/>
          </w:tcPr>
          <w:p>
            <w:r>
              <w:rPr>
                <w:b w:val="0"/>
              </w:rPr>
              <w:t>p. 11</w:t>
            </w:r>
          </w:p>
        </w:tc>
      </w:tr>
      <w:tr>
        <w:tc>
          <w:tcPr>
            <w:tcW w:type="dxa" w:w="3324"/>
          </w:tcPr>
          <w:p>
            <w:r>
              <w:rPr>
                <w:b w:val="0"/>
              </w:rPr>
              <w:t>Retrouver la recette parmi les écrits de la classe</w:t>
            </w:r>
          </w:p>
        </w:tc>
        <w:tc>
          <w:tcPr>
            <w:tcW w:type="dxa" w:w="3324"/>
          </w:tcPr>
          <w:p>
            <w:r>
              <w:rPr>
                <w:b w:val="0"/>
              </w:rPr>
              <w:t>« Reconnaitre quelques écrits utilisés et produits en classe (comptines, recettes, carnet de lecteur). » Exemple : associer un écrit connu à son utilisation, « […] faire un gâteau. »</w:t>
            </w:r>
          </w:p>
        </w:tc>
        <w:tc>
          <w:tcPr>
            <w:tcW w:type="dxa" w:w="3324"/>
          </w:tcPr>
          <w:p>
            <w:r>
              <w:rPr>
                <w:b w:val="0"/>
              </w:rPr>
              <w:t>p. 16</w:t>
            </w:r>
          </w:p>
        </w:tc>
      </w:tr>
    </w:tbl>
    <w:p>
      <w:pPr>
        <w:pStyle w:val="Heading2"/>
      </w:pPr>
      <w:r>
        <w:t>En moyenne section (à partir de 4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Raconter l’histoire avec un tapis d’histoire, dans l’ordre des rencontres</w:t>
            </w:r>
          </w:p>
        </w:tc>
        <w:tc>
          <w:tcPr>
            <w:tcW w:type="dxa" w:w="3324"/>
          </w:tcPr>
          <w:p>
            <w:r>
              <w:rPr>
                <w:b w:val="0"/>
              </w:rPr>
              <w:t>« Comprendre des histoires dont les actions sont organisées autour d’une structure répétitive (rencontres successives) et commencer à comprendre les informations implicites (émotions, états et sentiments des personnages). » Exemple : raconter « à l’aide d’un support (marotte, décor, boite à histoires, tapis d’histoires) »</w:t>
            </w:r>
          </w:p>
        </w:tc>
        <w:tc>
          <w:tcPr>
            <w:tcW w:type="dxa" w:w="3324"/>
          </w:tcPr>
          <w:p>
            <w:r>
              <w:rPr>
                <w:b w:val="0"/>
              </w:rPr>
              <w:t>p. 16</w:t>
            </w:r>
          </w:p>
        </w:tc>
      </w:tr>
      <w:tr>
        <w:tc>
          <w:tcPr>
            <w:tcW w:type="dxa" w:w="3324"/>
          </w:tcPr>
          <w:p>
            <w:r>
              <w:rPr>
                <w:b w:val="0"/>
              </w:rPr>
              <w:t>Deux corpus dans la période : la cuisine et la fête</w:t>
            </w:r>
          </w:p>
        </w:tc>
        <w:tc>
          <w:tcPr>
            <w:tcW w:type="dxa" w:w="3324"/>
          </w:tcPr>
          <w:p>
            <w:r>
              <w:rPr>
                <w:b w:val="0"/>
              </w:rPr>
              <w:t>« Comprendre, mémoriser, réemployer les mots des corpus enseignés (2 par période). »</w:t>
            </w:r>
          </w:p>
        </w:tc>
        <w:tc>
          <w:tcPr>
            <w:tcW w:type="dxa" w:w="3324"/>
          </w:tcPr>
          <w:p>
            <w:r>
              <w:rPr>
                <w:b w:val="0"/>
              </w:rPr>
              <w:t>p. 8</w:t>
            </w:r>
          </w:p>
        </w:tc>
      </w:tr>
    </w:tbl>
    <w:p>
      <w:pPr>
        <w:pStyle w:val="Heading2"/>
      </w:pPr>
      <w:r>
        <w:t>En grande section (à partir de 5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Expliquer la ruse du renard ; raconter l’histoire sans support</w:t>
            </w:r>
          </w:p>
        </w:tc>
        <w:tc>
          <w:tcPr>
            <w:tcW w:type="dxa" w:w="3324"/>
          </w:tcPr>
          <w:p>
            <w:r>
              <w:rPr>
                <w:b w:val="0"/>
              </w:rPr>
              <w:t>« Construire les caractéristiques des personnages archétypaux (loup, princesse, ogre, sorcière, renard, fée, etc.). » Exemples : expliquer les relations des personnages, dont « la ruse » ; « Raconter une histoire connue, dans son intégralité et sans support. »</w:t>
            </w:r>
          </w:p>
        </w:tc>
        <w:tc>
          <w:tcPr>
            <w:tcW w:type="dxa" w:w="3324"/>
          </w:tcPr>
          <w:p>
            <w:r>
              <w:rPr>
                <w:b w:val="0"/>
              </w:rPr>
              <w:t>p. 17</w:t>
            </w:r>
          </w:p>
        </w:tc>
      </w:tr>
      <w:tr>
        <w:tc>
          <w:tcPr>
            <w:tcW w:type="dxa" w:w="3324"/>
          </w:tcPr>
          <w:p>
            <w:r>
              <w:rPr>
                <w:b w:val="0"/>
              </w:rPr>
              <w:t>Jouer avec roule, boule et moule</w:t>
            </w:r>
          </w:p>
        </w:tc>
        <w:tc>
          <w:tcPr>
            <w:tcW w:type="dxa" w:w="3324"/>
          </w:tcPr>
          <w:p>
            <w:r>
              <w:rPr>
                <w:b w:val="0"/>
              </w:rPr>
              <w:t>« Comprendre, mémoriser, réemployer les mots des corpus enseignés (3 par période). » Exemple : « les mots qui entretiennent une proximité phonique (poule/roule/boule/moule) »</w:t>
            </w:r>
          </w:p>
        </w:tc>
        <w:tc>
          <w:tcPr>
            <w:tcW w:type="dxa" w:w="3324"/>
          </w:tcPr>
          <w:p>
            <w:r>
              <w:rPr>
                <w:b w:val="0"/>
              </w:rPr>
              <w:t>p. 8</w:t>
            </w:r>
          </w:p>
        </w:tc>
      </w:tr>
      <w:tr>
        <w:tc>
          <w:tcPr>
            <w:tcW w:type="dxa" w:w="3324"/>
          </w:tcPr>
          <w:p>
            <w:r>
              <w:rPr>
                <w:b w:val="0"/>
              </w:rPr>
              <w:t>Observer la mise en page de la recette</w:t>
            </w:r>
          </w:p>
        </w:tc>
        <w:tc>
          <w:tcPr>
            <w:tcW w:type="dxa" w:w="3324"/>
          </w:tcPr>
          <w:p>
            <w:r>
              <w:rPr>
                <w:b w:val="0"/>
              </w:rPr>
              <w:t>« Repérer et dégager la structure et l’organisation (mise en page, typographie) de formes d’écrits fréquemment utilisés en classe (structure de la lettre, de la recette, du conte, […]). »</w:t>
            </w:r>
          </w:p>
        </w:tc>
        <w:tc>
          <w:tcPr>
            <w:tcW w:type="dxa" w:w="3324"/>
          </w:tcPr>
          <w:p>
            <w:r>
              <w:rPr>
                <w:b w:val="0"/>
              </w:rPr>
              <w:t>p. 16</w:t>
            </w:r>
          </w:p>
        </w:tc>
      </w:tr>
    </w:tbl>
    <w:p>
      <w:pPr>
        <w:pStyle w:val="Heading1"/>
      </w:pPr>
      <w:r>
        <w:t>Agir, s’exprimer, comprendre à travers les activités physiques</w:t>
      </w:r>
    </w:p>
    <w:p>
      <w:r>
        <w:rPr>
          <w:b w:val="0"/>
        </w:rPr>
        <w:t>Chaque jeu prend la place d’une séance du module de jeux collectifs en cours ; un disque en carton figure la galette. Citations : annexe 2026.</w:t>
      </w:r>
    </w:p>
    <w:p>
      <w:pPr>
        <w:pStyle w:val="Heading2"/>
      </w:pPr>
      <w:r>
        <w:t>En petite section (avant 4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 La galette s’échappe » : un élève porte la galette et s’enfuit, les autres le poursuivent et l’attrapent sans le pousser</w:t>
            </w:r>
          </w:p>
        </w:tc>
        <w:tc>
          <w:tcPr>
            <w:tcW w:type="dxa" w:w="3324"/>
          </w:tcPr>
          <w:p>
            <w:r>
              <w:rPr>
                <w:b w:val="0"/>
              </w:rPr>
              <w:t>« Éprouver le plaisir de jouer dans le respect des autres et des règles communes. » Exemple : « Jouer à un jeu de poursuite sans brusquer les autres élèves […] »</w:t>
            </w:r>
          </w:p>
        </w:tc>
        <w:tc>
          <w:tcPr>
            <w:tcW w:type="dxa" w:w="3324"/>
          </w:tcPr>
          <w:p>
            <w:r>
              <w:rPr>
                <w:b w:val="0"/>
              </w:rPr>
              <w:t>p. 9</w:t>
            </w:r>
          </w:p>
        </w:tc>
      </w:tr>
    </w:tbl>
    <w:p>
      <w:pPr>
        <w:pStyle w:val="Heading2"/>
      </w:pPr>
      <w:r>
        <w:t>En moyenne section (à partir de 4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 Le renard et la galette » : une équipe protège la zone où sont posées les galettes en carton, l’autre essaie d’en rapporter ; on change de rôle</w:t>
            </w:r>
          </w:p>
        </w:tc>
        <w:tc>
          <w:tcPr>
            <w:tcW w:type="dxa" w:w="3324"/>
          </w:tcPr>
          <w:p>
            <w:r>
              <w:rPr>
                <w:b w:val="0"/>
              </w:rPr>
              <w:t>« Jouer en exerçant des rôles différents : attaquant, attaquante et défenseur, défenseuse. » Exemple : « Poursuivre ou s’échapper, protéger une zone ou dérober des objets […] »</w:t>
            </w:r>
          </w:p>
        </w:tc>
        <w:tc>
          <w:tcPr>
            <w:tcW w:type="dxa" w:w="3324"/>
          </w:tcPr>
          <w:p>
            <w:r>
              <w:rPr>
                <w:b w:val="0"/>
              </w:rPr>
              <w:t>p. 9</w:t>
            </w:r>
          </w:p>
        </w:tc>
      </w:tr>
    </w:tbl>
    <w:p>
      <w:pPr>
        <w:pStyle w:val="Heading2"/>
      </w:pPr>
      <w:r>
        <w:t>En grande section (à partir de 5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Même jeu : l’équipe annonce sa stratégie avant la partie ; un élève arbitre</w:t>
            </w:r>
          </w:p>
        </w:tc>
        <w:tc>
          <w:tcPr>
            <w:tcW w:type="dxa" w:w="3324"/>
          </w:tcPr>
          <w:p>
            <w:r>
              <w:rPr>
                <w:b w:val="0"/>
              </w:rPr>
              <w:t>« Élaborer seul ou à plusieurs des stratégies pour gagner un jeu. » ; « Jouer en exerçant des rôles différents : attaquant, attaquante, défenseur, défenseuse et arbitre. »</w:t>
            </w:r>
          </w:p>
        </w:tc>
        <w:tc>
          <w:tcPr>
            <w:tcW w:type="dxa" w:w="3324"/>
          </w:tcPr>
          <w:p>
            <w:r>
              <w:rPr>
                <w:b w:val="0"/>
              </w:rPr>
              <w:t>p. 9</w:t>
            </w:r>
          </w:p>
        </w:tc>
      </w:tr>
    </w:tbl>
    <w:p>
      <w:pPr>
        <w:pStyle w:val="Heading1"/>
      </w:pPr>
      <w:r>
        <w:t>Agir, s’exprimer, comprendre à travers les activités artistiques</w:t>
      </w:r>
    </w:p>
    <w:p>
      <w:r>
        <w:rPr>
          <w:b w:val="0"/>
        </w:rPr>
        <w:t>La couronne et la comptine forment le fil artistique. Nos conseils : aucun petit élément à coller en PS, des ciseaux adaptés, le pistolet à colle chez l’adulte et, par prudence laïque, des motifs ronds, sans croix ni étoile. La comptine entre au répertoire : « au moins cinq » comptines avant 4 ans, « au moins huit » à partir de 4 ans, « au moins dix » à partir de 5 ans (annexe 2026, p. 14). Autres citations : annexe 2026.</w:t>
      </w:r>
    </w:p>
    <w:p>
      <w:r>
        <w:rPr>
          <w:b w:val="0"/>
        </w:rPr>
        <w:t>La comptine de la galette (texte original de Prépare Mes Cours) : Ronde, ronde, la galette,</w:t>
        <w:br/>
        <w:t>dorée comme le soleil.</w:t>
        <w:br/>
        <w:t>Une part pour chaque assiette,</w:t>
        <w:br/>
        <w:t>chacun la sienne, c’est pareil !</w:t>
        <w:br/>
        <w:t>Sous l’assiette, qui se cache ?</w:t>
        <w:br/>
        <w:t>Une fève en carton.</w:t>
        <w:br/>
        <w:t>Une couronne sur la tête,</w:t>
        <w:br/>
        <w:t>on chante tous en rond !</w:t>
      </w:r>
    </w:p>
    <w:p>
      <w:r>
        <w:rPr>
          <w:b w:val="0"/>
        </w:rPr>
        <w:t>En PS, on dit seulement les quatre premiers vers.</w:t>
      </w:r>
    </w:p>
    <w:p>
      <w:pPr>
        <w:pStyle w:val="Heading2"/>
      </w:pPr>
      <w:r>
        <w:t>En petite section (avant 4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Décorer une large bande de couronne au rouleau, au pochoir ou à la spatule ; tracer des ronds</w:t>
            </w:r>
          </w:p>
        </w:tc>
        <w:tc>
          <w:tcPr>
            <w:tcW w:type="dxa" w:w="3324"/>
          </w:tcPr>
          <w:p>
            <w:r>
              <w:rPr>
                <w:b w:val="0"/>
              </w:rPr>
              <w:t>« Explorer des gestes et commencer à les associer à des types de tracés précis. » (p. 11) ; « Explorer l’usage des outils et observer leurs effets sur le geste. » (p. 12). Exemples : « Découvrir l’usage de la spatule, du rouleau, du pochoir, […] » (p. 12) ; « Reproduire des motifs graphiques simples (cercles, boucles, […]) » (p. 11)</w:t>
            </w:r>
          </w:p>
        </w:tc>
        <w:tc>
          <w:tcPr>
            <w:tcW w:type="dxa" w:w="3324"/>
          </w:tcPr>
          <w:p>
            <w:r>
              <w:rPr>
                <w:b w:val="0"/>
              </w:rPr>
              <w:t>p. 11-12</w:t>
            </w:r>
          </w:p>
        </w:tc>
      </w:tr>
    </w:tbl>
    <w:p>
      <w:pPr>
        <w:pStyle w:val="Heading2"/>
      </w:pPr>
      <w:r>
        <w:t>En moyenne section (à partir de 4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Couronne à motifs choisis dans un répertoire : tissus, mosaïques, poteries</w:t>
            </w:r>
          </w:p>
        </w:tc>
        <w:tc>
          <w:tcPr>
            <w:tcW w:type="dxa" w:w="3324"/>
          </w:tcPr>
          <w:p>
            <w:r>
              <w:rPr>
                <w:b w:val="0"/>
              </w:rPr>
              <w:t>« Reproduire et créer des motifs de plus en plus élaborés. » Exemple : « Choisir et reproduire des motifs issus de répertoires culturels (œuvres d’art, motifs sur des poteries, mosaïques, tissus, broderie, etc.). »</w:t>
            </w:r>
          </w:p>
        </w:tc>
        <w:tc>
          <w:tcPr>
            <w:tcW w:type="dxa" w:w="3324"/>
          </w:tcPr>
          <w:p>
            <w:r>
              <w:rPr>
                <w:b w:val="0"/>
              </w:rPr>
              <w:t>p. 11</w:t>
            </w:r>
          </w:p>
        </w:tc>
      </w:tr>
    </w:tbl>
    <w:p>
      <w:pPr>
        <w:pStyle w:val="Heading2"/>
      </w:pPr>
      <w:r>
        <w:t>En grande section (à partir de 5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Couronne à plusieurs : trois motifs, deux outils, en temps limité</w:t>
            </w:r>
          </w:p>
        </w:tc>
        <w:tc>
          <w:tcPr>
            <w:tcW w:type="dxa" w:w="3324"/>
          </w:tcPr>
          <w:p>
            <w:r>
              <w:rPr>
                <w:b w:val="0"/>
              </w:rPr>
              <w:t>« Créer de nouveaux motifs. » ; « Réaliser une composition à partir de plusieurs contraintes. » Exemple réinvesti, celui d’une affiche pour un évènement : « […] trois motifs, deux outils différents, en temps limité et à plusieurs. »</w:t>
            </w:r>
          </w:p>
        </w:tc>
        <w:tc>
          <w:tcPr>
            <w:tcW w:type="dxa" w:w="3324"/>
          </w:tcPr>
          <w:p>
            <w:r>
              <w:rPr>
                <w:b w:val="0"/>
              </w:rPr>
              <w:t>p. 11</w:t>
            </w:r>
          </w:p>
        </w:tc>
      </w:tr>
    </w:tbl>
    <w:p>
      <w:pPr>
        <w:pStyle w:val="Heading1"/>
      </w:pPr>
      <w:r>
        <w:t>L’acquisition des premiers outils mathématiques</w:t>
      </w:r>
    </w:p>
    <w:p>
      <w:r>
        <w:rPr>
          <w:b w:val="0"/>
        </w:rPr>
        <w:t>Le partage est un problème de partage équitable de collections : on distribue, puis on vérifie que chacun en a autant. La vraie galette est coupée par l’adulte. Aucune pesée en grammes par les élèves. Citations : consolidé (BO n° 41), qui écarte l’écriture chiffrée « avant d’en avoir installé le sens ».</w:t>
      </w:r>
    </w:p>
    <w:p>
      <w:pPr>
        <w:pStyle w:val="Heading2"/>
      </w:pPr>
      <w:r>
        <w:t>En petite section (avant 4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 Une part pour chacun » : poser une part en carton devant chaque enfant d’un groupe de 3 ou 4</w:t>
            </w:r>
          </w:p>
        </w:tc>
        <w:tc>
          <w:tcPr>
            <w:tcW w:type="dxa" w:w="3324"/>
          </w:tcPr>
          <w:p>
            <w:r>
              <w:rPr>
                <w:b w:val="0"/>
              </w:rPr>
              <w:t>« Constituer une collection (jusqu’à trois, voire quatre objets) d’un cardinal donné. » Exemple : répondre à la consigne « Mets dans chaque boite autant de jetons qu’il y a […] »</w:t>
            </w:r>
          </w:p>
        </w:tc>
        <w:tc>
          <w:tcPr>
            <w:tcW w:type="dxa" w:w="3324"/>
          </w:tcPr>
          <w:p>
            <w:r>
              <w:rPr>
                <w:b w:val="0"/>
              </w:rPr>
              <w:t>p. 37</w:t>
            </w:r>
          </w:p>
        </w:tc>
      </w:tr>
      <w:tr>
        <w:tc>
          <w:tcPr>
            <w:tcW w:type="dxa" w:w="3324"/>
          </w:tcPr>
          <w:p>
            <w:r>
              <w:rPr>
                <w:b w:val="0"/>
              </w:rPr>
              <w:t>Couronne : motif répétitif à deux couleurs, en grandes formes</w:t>
            </w:r>
          </w:p>
        </w:tc>
        <w:tc>
          <w:tcPr>
            <w:tcW w:type="dxa" w:w="3324"/>
          </w:tcPr>
          <w:p>
            <w:r>
              <w:rPr>
                <w:b w:val="0"/>
              </w:rPr>
              <w:t>« Reproduire un motif répétitif à l’identique. »</w:t>
            </w:r>
          </w:p>
        </w:tc>
        <w:tc>
          <w:tcPr>
            <w:tcW w:type="dxa" w:w="3324"/>
          </w:tcPr>
          <w:p>
            <w:r>
              <w:rPr>
                <w:b w:val="0"/>
              </w:rPr>
              <w:t>p. 49</w:t>
            </w:r>
          </w:p>
        </w:tc>
      </w:tr>
    </w:tbl>
    <w:p>
      <w:pPr>
        <w:pStyle w:val="Heading2"/>
      </w:pPr>
      <w:r>
        <w:t>En moyenne section (à partir de 4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Partager des parts en carton entre deux ou trois poupées, en distribuant un à un</w:t>
            </w:r>
          </w:p>
        </w:tc>
        <w:tc>
          <w:tcPr>
            <w:tcW w:type="dxa" w:w="3324"/>
          </w:tcPr>
          <w:p>
            <w:r>
              <w:rPr>
                <w:b w:val="0"/>
              </w:rPr>
              <w:t>« Rechercher la valeur d’une part dans un problème de partage équitable. » (p. 44). Exemples : « Répartir des objets en les distribuant un à un dans un problème de partage. » (p. 44) ; « J’ai six gâteaux à partager équitablement entre deux poupées et chacune doit recevoir le plus grand nombre possible de gâteaux » (p. 45)</w:t>
            </w:r>
          </w:p>
        </w:tc>
        <w:tc>
          <w:tcPr>
            <w:tcW w:type="dxa" w:w="3324"/>
          </w:tcPr>
          <w:p>
            <w:r>
              <w:rPr>
                <w:b w:val="0"/>
              </w:rPr>
              <w:t>p. 44-45</w:t>
            </w:r>
          </w:p>
        </w:tc>
      </w:tr>
      <w:tr>
        <w:tc>
          <w:tcPr>
            <w:tcW w:type="dxa" w:w="3324"/>
          </w:tcPr>
          <w:p>
            <w:r>
              <w:rPr>
                <w:b w:val="0"/>
              </w:rPr>
              <w:t>Comparer deux bols d’ingrédients en les soupesant, puis avec une balance de type Roberval</w:t>
            </w:r>
          </w:p>
        </w:tc>
        <w:tc>
          <w:tcPr>
            <w:tcW w:type="dxa" w:w="3324"/>
          </w:tcPr>
          <w:p>
            <w:r>
              <w:rPr>
                <w:b w:val="0"/>
              </w:rPr>
              <w:t>« Comparer les masses de deux objets. » Exemple : « Utiliser une balance de type Roberval pour comparer des objets dont les masses diffèrent de peu. »</w:t>
            </w:r>
          </w:p>
        </w:tc>
        <w:tc>
          <w:tcPr>
            <w:tcW w:type="dxa" w:w="3324"/>
          </w:tcPr>
          <w:p>
            <w:r>
              <w:rPr>
                <w:b w:val="0"/>
              </w:rPr>
              <w:t>p. 48</w:t>
            </w:r>
          </w:p>
        </w:tc>
      </w:tr>
      <w:tr>
        <w:tc>
          <w:tcPr>
            <w:tcW w:type="dxa" w:w="3324"/>
          </w:tcPr>
          <w:p>
            <w:r>
              <w:rPr>
                <w:b w:val="0"/>
              </w:rPr>
              <w:t>Plateau « Le chemin de la galette », avec un dé à constellations et des cases « recule »</w:t>
            </w:r>
          </w:p>
        </w:tc>
        <w:tc>
          <w:tcPr>
            <w:tcW w:type="dxa" w:w="3324"/>
          </w:tcPr>
          <w:p>
            <w:r>
              <w:rPr>
                <w:b w:val="0"/>
              </w:rPr>
              <w:t>« Trouver une position finale à partir d’une position initiale et d’un déplacement sur une piste du type du jeu de l’oie ou sur la bande numérique. » (p. 44). Exemple : « Le dé peut être à constellations ou chiffré. » (p. 45)</w:t>
            </w:r>
          </w:p>
        </w:tc>
        <w:tc>
          <w:tcPr>
            <w:tcW w:type="dxa" w:w="3324"/>
          </w:tcPr>
          <w:p>
            <w:r>
              <w:rPr>
                <w:b w:val="0"/>
              </w:rPr>
              <w:t>p. 44-45</w:t>
            </w:r>
          </w:p>
        </w:tc>
      </w:tr>
    </w:tbl>
    <w:p>
      <w:pPr>
        <w:pStyle w:val="Heading2"/>
      </w:pPr>
      <w:r>
        <w:t>En grande section (à partir de 5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Partager des parts dans un petit groupe, avec un reste éventuel ; chercher combien de galettes de 4 parts il faut pour 6 à 10 élèves, pas pour la classe entière</w:t>
            </w:r>
          </w:p>
        </w:tc>
        <w:tc>
          <w:tcPr>
            <w:tcW w:type="dxa" w:w="3324"/>
          </w:tcPr>
          <w:p>
            <w:r>
              <w:rPr>
                <w:b w:val="0"/>
              </w:rPr>
              <w:t>« Déterminer la valeur d’une part dans un problème de partage équitable (avec éventuellement un reste). » (p. 45). Exemple : « Distribuer des objets un à un ou deux à deux pour résoudre un problème de partage. » (p. 45). Exemple réinvesti, sous « Problèmes de partage en parts égales avec éventuellement un reste » : l’élève « est capable de demander le nombre d’enveloppes nécessaires pour ranger deux images par enveloppe » (p. 46)</w:t>
            </w:r>
          </w:p>
        </w:tc>
        <w:tc>
          <w:tcPr>
            <w:tcW w:type="dxa" w:w="3324"/>
          </w:tcPr>
          <w:p>
            <w:r>
              <w:rPr>
                <w:b w:val="0"/>
              </w:rPr>
              <w:t>p. 45-46</w:t>
            </w:r>
          </w:p>
        </w:tc>
      </w:tr>
      <w:tr>
        <w:tc>
          <w:tcPr>
            <w:tcW w:type="dxa" w:w="3324"/>
          </w:tcPr>
          <w:p>
            <w:r>
              <w:rPr>
                <w:b w:val="0"/>
              </w:rPr>
              <w:t>Ranger trois ingrédients du plus léger au plus lourd</w:t>
            </w:r>
          </w:p>
        </w:tc>
        <w:tc>
          <w:tcPr>
            <w:tcW w:type="dxa" w:w="3324"/>
          </w:tcPr>
          <w:p>
            <w:r>
              <w:rPr>
                <w:b w:val="0"/>
              </w:rPr>
              <w:t>« Ordonner les masses de trois objets. Verbaliser les résultats. »</w:t>
            </w:r>
          </w:p>
        </w:tc>
        <w:tc>
          <w:tcPr>
            <w:tcW w:type="dxa" w:w="3324"/>
          </w:tcPr>
          <w:p>
            <w:r>
              <w:rPr>
                <w:b w:val="0"/>
              </w:rPr>
              <w:t>p. 48</w:t>
            </w:r>
          </w:p>
        </w:tc>
      </w:tr>
      <w:tr>
        <w:tc>
          <w:tcPr>
            <w:tcW w:type="dxa" w:w="3324"/>
          </w:tcPr>
          <w:p>
            <w:r>
              <w:rPr>
                <w:b w:val="0"/>
              </w:rPr>
              <w:t>Couronne : un motif évolutif, que l’élève décrit à un camarade</w:t>
            </w:r>
          </w:p>
        </w:tc>
        <w:tc>
          <w:tcPr>
            <w:tcW w:type="dxa" w:w="3324"/>
          </w:tcPr>
          <w:p>
            <w:r>
              <w:rPr>
                <w:b w:val="0"/>
              </w:rPr>
              <w:t>« Créer des motifs de différentes natures. » Le programme précise : « Les motifs évolutifs ne seront travaillés qu’à partir de cinq ans. »</w:t>
            </w:r>
          </w:p>
        </w:tc>
        <w:tc>
          <w:tcPr>
            <w:tcW w:type="dxa" w:w="3324"/>
          </w:tcPr>
          <w:p>
            <w:r>
              <w:rPr>
                <w:b w:val="0"/>
              </w:rPr>
              <w:t>p. 49-50</w:t>
            </w:r>
          </w:p>
        </w:tc>
      </w:tr>
    </w:tbl>
    <w:p>
      <w:pPr>
        <w:pStyle w:val="Heading1"/>
      </w:pPr>
      <w:r>
        <w:t>Se repérer dans le temps et l’espace</w:t>
      </w:r>
    </w:p>
    <w:p>
      <w:r>
        <w:rPr>
          <w:b w:val="0"/>
        </w:rPr>
        <w:t>Le temps se travaille sur l’histoire en PS, sur la recette vécue en MS et en GS. Citations : annexe 2026.</w:t>
      </w:r>
    </w:p>
    <w:p>
      <w:pPr>
        <w:pStyle w:val="Heading2"/>
      </w:pPr>
      <w:r>
        <w:t>En petite section (avant 4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Remettre en ordre trois images de l’histoire dessinées par Prépare Mes Cours (la galette part, elle croise un animal, le renard arrive), sans reprendre l’album</w:t>
            </w:r>
          </w:p>
        </w:tc>
        <w:tc>
          <w:tcPr>
            <w:tcW w:type="dxa" w:w="3324"/>
          </w:tcPr>
          <w:p>
            <w:r>
              <w:rPr>
                <w:b w:val="0"/>
              </w:rPr>
              <w:t>« Comprendre et restituer le déroulement d’évènements quotidiens au sein d’une histoire simple. »</w:t>
            </w:r>
          </w:p>
        </w:tc>
        <w:tc>
          <w:tcPr>
            <w:tcW w:type="dxa" w:w="3324"/>
          </w:tcPr>
          <w:p>
            <w:r>
              <w:rPr>
                <w:b w:val="0"/>
              </w:rPr>
              <w:t>p. 19</w:t>
            </w:r>
          </w:p>
        </w:tc>
      </w:tr>
    </w:tbl>
    <w:p>
      <w:pPr>
        <w:pStyle w:val="Heading2"/>
      </w:pPr>
      <w:r>
        <w:t>En moyenne section (à partir de 4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Raconter la recette vécue avec « au début, ensuite, pour finir »</w:t>
            </w:r>
          </w:p>
        </w:tc>
        <w:tc>
          <w:tcPr>
            <w:tcW w:type="dxa" w:w="3324"/>
          </w:tcPr>
          <w:p>
            <w:r>
              <w:rPr>
                <w:b w:val="0"/>
              </w:rPr>
              <w:t>« Relater et expliquer une action, une procédure en utilisant de premiers connecteurs structurants afin d’inscrire les activités récurrentes de leur vie quotidienne dans le temps. » Exemple : « Utiliser les termes : au début, ensuite et pour finir, […] »</w:t>
            </w:r>
          </w:p>
        </w:tc>
        <w:tc>
          <w:tcPr>
            <w:tcW w:type="dxa" w:w="3324"/>
          </w:tcPr>
          <w:p>
            <w:r>
              <w:rPr>
                <w:b w:val="0"/>
              </w:rPr>
              <w:t>p. 19</w:t>
            </w:r>
          </w:p>
        </w:tc>
      </w:tr>
      <w:tr>
        <w:tc>
          <w:tcPr>
            <w:tcW w:type="dxa" w:w="3324"/>
          </w:tcPr>
          <w:p>
            <w:r>
              <w:rPr>
                <w:b w:val="0"/>
              </w:rPr>
              <w:t>Représenter en volume les lieux traversés par la galette, puis y déplacer la marotte</w:t>
            </w:r>
          </w:p>
        </w:tc>
        <w:tc>
          <w:tcPr>
            <w:tcW w:type="dxa" w:w="3324"/>
          </w:tcPr>
          <w:p>
            <w:r>
              <w:rPr>
                <w:b w:val="0"/>
              </w:rPr>
              <w:t>« Représenter un déplacement. » Exemple : « Représenter en volume les lieux visités par un personnage dans un récit. »</w:t>
            </w:r>
          </w:p>
        </w:tc>
        <w:tc>
          <w:tcPr>
            <w:tcW w:type="dxa" w:w="3324"/>
          </w:tcPr>
          <w:p>
            <w:r>
              <w:rPr>
                <w:b w:val="0"/>
              </w:rPr>
              <w:t>p. 22</w:t>
            </w:r>
          </w:p>
        </w:tc>
      </w:tr>
    </w:tbl>
    <w:p>
      <w:pPr>
        <w:pStyle w:val="Heading2"/>
      </w:pPr>
      <w:r>
        <w:t>En grande section (à partir de 5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Remettre en ordre les photos de la recette de la classe ; dicter la liste des étapes</w:t>
            </w:r>
          </w:p>
        </w:tc>
        <w:tc>
          <w:tcPr>
            <w:tcW w:type="dxa" w:w="3324"/>
          </w:tcPr>
          <w:p>
            <w:r>
              <w:rPr>
                <w:b w:val="0"/>
              </w:rPr>
              <w:t>« Repérer les différentes étapes d’un processus ou d’un évènement vécu et les ordonner. » Exemple : « Établir la liste des différentes étapes d’une construction ou d’une fabrication en utilisant les mots : d’abord, ensuite, puis, après, enfin, à la fin. »</w:t>
            </w:r>
          </w:p>
        </w:tc>
        <w:tc>
          <w:tcPr>
            <w:tcW w:type="dxa" w:w="3324"/>
          </w:tcPr>
          <w:p>
            <w:r>
              <w:rPr>
                <w:b w:val="0"/>
              </w:rPr>
              <w:t>p. 19</w:t>
            </w:r>
          </w:p>
        </w:tc>
      </w:tr>
      <w:tr>
        <w:tc>
          <w:tcPr>
            <w:tcW w:type="dxa" w:w="3324"/>
          </w:tcPr>
          <w:p>
            <w:r>
              <w:rPr>
                <w:b w:val="0"/>
              </w:rPr>
              <w:t>Situer la fête en janvier ; composer la date du jour de la fête</w:t>
            </w:r>
          </w:p>
        </w:tc>
        <w:tc>
          <w:tcPr>
            <w:tcW w:type="dxa" w:w="3324"/>
          </w:tcPr>
          <w:p>
            <w:r>
              <w:rPr>
                <w:b w:val="0"/>
              </w:rPr>
              <w:t>« Utiliser des mois qui servent de repères pour se situer dans l’année. » ; « Énoncer la date. » Exemples : « Associer certains mois de l’année à un évènement marquant (anniversaires, fêtes, vacances). » ; « Utiliser les outils de la classe pour composer la date (jour et mois) au tableau et l’énoncer. »</w:t>
            </w:r>
          </w:p>
        </w:tc>
        <w:tc>
          <w:tcPr>
            <w:tcW w:type="dxa" w:w="3324"/>
          </w:tcPr>
          <w:p>
            <w:r>
              <w:rPr>
                <w:b w:val="0"/>
              </w:rPr>
              <w:t>p. 18-19</w:t>
            </w:r>
          </w:p>
        </w:tc>
      </w:tr>
    </w:tbl>
    <w:p>
      <w:pPr>
        <w:pStyle w:val="Heading1"/>
      </w:pPr>
      <w:r>
        <w:t>Découvrir le monde du vivant, de la matière et des objets</w:t>
      </w:r>
    </w:p>
    <w:p>
      <w:r>
        <w:rPr>
          <w:b w:val="0"/>
        </w:rPr>
        <w:t>La recette sert de support. Citations : annexe 2026.</w:t>
      </w:r>
    </w:p>
    <w:p>
      <w:pPr>
        <w:pStyle w:val="Heading2"/>
      </w:pPr>
      <w:r>
        <w:t>En petite section (avant 4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Se laver les mains avant de cuisiner ; mélanger à la spatule</w:t>
            </w:r>
          </w:p>
        </w:tc>
        <w:tc>
          <w:tcPr>
            <w:tcW w:type="dxa" w:w="3324"/>
          </w:tcPr>
          <w:p>
            <w:r>
              <w:rPr>
                <w:b w:val="0"/>
              </w:rPr>
              <w:t>« Respecter quelques règles d’hygiène de vie, à l’invitation de l’adulte. » (p. 25). Exemples : « Se laver les mains […] avant et après les repas, […] avec l’aide de l’adulte » (p. 25) ; « Mélanger avec une spatule […] » (p. 26)</w:t>
            </w:r>
          </w:p>
        </w:tc>
        <w:tc>
          <w:tcPr>
            <w:tcW w:type="dxa" w:w="3324"/>
          </w:tcPr>
          <w:p>
            <w:r>
              <w:rPr>
                <w:b w:val="0"/>
              </w:rPr>
              <w:t>p. 25-26</w:t>
            </w:r>
          </w:p>
        </w:tc>
      </w:tr>
    </w:tbl>
    <w:p>
      <w:pPr>
        <w:pStyle w:val="Heading2"/>
      </w:pPr>
      <w:r>
        <w:t>En moyenne section (à partir de 4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Choisir l’outil pour décorer le dessus (fourchette, pinceau, spatule) et expliquer son choix</w:t>
            </w:r>
          </w:p>
        </w:tc>
        <w:tc>
          <w:tcPr>
            <w:tcW w:type="dxa" w:w="3324"/>
          </w:tcPr>
          <w:p>
            <w:r>
              <w:rPr>
                <w:b w:val="0"/>
              </w:rPr>
              <w:t>« Désigner et utiliser des outils ou des objets adaptés à une situation et à une action technique. » Exemple : choisir l’outil qui « convient le mieux » pendant l’atelier cuisine</w:t>
            </w:r>
          </w:p>
        </w:tc>
        <w:tc>
          <w:tcPr>
            <w:tcW w:type="dxa" w:w="3324"/>
          </w:tcPr>
          <w:p>
            <w:r>
              <w:rPr>
                <w:b w:val="0"/>
              </w:rPr>
              <w:t>p. 26</w:t>
            </w:r>
          </w:p>
        </w:tc>
      </w:tr>
    </w:tbl>
    <w:p>
      <w:pPr>
        <w:pStyle w:val="Heading2"/>
      </w:pPr>
      <w:r>
        <w:t>En grande section (à partir de 5 ans)</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Activité</w:t>
            </w:r>
          </w:p>
        </w:tc>
        <w:tc>
          <w:tcPr>
            <w:tcW w:type="dxa" w:w="3324"/>
          </w:tcPr>
          <w:p>
            <w:r>
              <w:rPr>
                <w:b/>
              </w:rPr>
              <w:t>Objectif du programme</w:t>
            </w:r>
          </w:p>
        </w:tc>
        <w:tc>
          <w:tcPr>
            <w:tcW w:type="dxa" w:w="3324"/>
          </w:tcPr>
          <w:p>
            <w:r>
              <w:rPr>
                <w:b/>
              </w:rPr>
              <w:t>Source</w:t>
            </w:r>
          </w:p>
        </w:tc>
      </w:tr>
      <w:tr>
        <w:tc>
          <w:tcPr>
            <w:tcW w:type="dxa" w:w="3324"/>
          </w:tcPr>
          <w:p>
            <w:r>
              <w:rPr>
                <w:b w:val="0"/>
              </w:rPr>
              <w:t>Suivre la recette en pictogrammes ; dire ce qui est dangereux : le four chaud, que seul l’adulte ouvre, le couteau, la fève</w:t>
            </w:r>
          </w:p>
        </w:tc>
        <w:tc>
          <w:tcPr>
            <w:tcW w:type="dxa" w:w="3324"/>
          </w:tcPr>
          <w:p>
            <w:r>
              <w:rPr>
                <w:b w:val="0"/>
              </w:rPr>
              <w:t>« Construire, fabriquer, réaliser en suivant une recette ou une fiche technique. » ; « Identifier et prévenir les risques liés à certains objets. » Exemple réinvesti : « Rassembler les éléments nécessaires et respecter la chronologie des étapes pour réaliser une soupe froide. »</w:t>
            </w:r>
          </w:p>
        </w:tc>
        <w:tc>
          <w:tcPr>
            <w:tcW w:type="dxa" w:w="3324"/>
          </w:tcPr>
          <w:p>
            <w:r>
              <w:rPr>
                <w:b w:val="0"/>
              </w:rPr>
              <w:t>p. 27</w:t>
            </w:r>
          </w:p>
        </w:tc>
      </w:tr>
    </w:tbl>
    <w:p>
      <w:r>
        <w:rPr>
          <w:b w:val="0"/>
        </w:rPr>
        <w:t>Pour l’EVAR, la séquence fait pratiquer « attendre son tour, partager les objets » (annexe, p. 4) et accepter de ne pas avoir la fève.</w:t>
      </w:r>
    </w:p>
    <w:p>
      <w:pPr>
        <w:pStyle w:val="Heading1"/>
      </w:pPr>
      <w:r>
        <w:t>Recette de la galette en classe : quantités et étapes</w:t>
      </w:r>
    </w:p>
    <w:p>
      <w:r>
        <w:rPr>
          <w:b w:val="0"/>
        </w:rPr>
        <w:t>Recette proposée par Prépare Mes Cours, indicative pour 6 à 8 parts. L’adulte pèse les ingrédients à l’avance dans des bols repérés par une constellation de points. Les élèves comptent les bols, les œufs et les cuillerées ; en MS et en GS, ils comparent les masses des bols, sans peser en grammes.</w:t>
      </w:r>
    </w:p>
    <w:p>
      <w:r>
        <w:rPr>
          <w:b/>
        </w:rPr>
        <w:t>Ingrédients (carte adulte du kit)</w:t>
      </w:r>
    </w:p>
    <w:p>
      <w:pPr>
        <w:pStyle w:val="ListBullet"/>
      </w:pPr>
      <w:r>
        <w:rPr>
          <w:b w:val="0"/>
        </w:rPr>
        <w:t>2 disques de pâte feuilletée prête à dérouler ;</w:t>
      </w:r>
    </w:p>
    <w:p>
      <w:pPr>
        <w:pStyle w:val="ListBullet"/>
      </w:pPr>
      <w:r>
        <w:rPr>
          <w:b w:val="0"/>
        </w:rPr>
        <w:t>100 g de poudre d’amande ;</w:t>
      </w:r>
    </w:p>
    <w:p>
      <w:pPr>
        <w:pStyle w:val="ListBullet"/>
      </w:pPr>
      <w:r>
        <w:rPr>
          <w:b w:val="0"/>
        </w:rPr>
        <w:t>80 g de sucre ;</w:t>
      </w:r>
    </w:p>
    <w:p>
      <w:pPr>
        <w:pStyle w:val="ListBullet"/>
      </w:pPr>
      <w:r>
        <w:rPr>
          <w:b w:val="0"/>
        </w:rPr>
        <w:t>60 g de beurre mou ;</w:t>
      </w:r>
    </w:p>
    <w:p>
      <w:pPr>
        <w:pStyle w:val="ListBullet"/>
      </w:pPr>
      <w:r>
        <w:rPr>
          <w:b w:val="0"/>
        </w:rPr>
        <w:t>2 œufs ;</w:t>
      </w:r>
    </w:p>
    <w:p>
      <w:pPr>
        <w:pStyle w:val="ListBullet"/>
      </w:pPr>
      <w:r>
        <w:rPr>
          <w:b w:val="0"/>
        </w:rPr>
        <w:t>1 jaune d’œuf pour dorer.</w:t>
      </w:r>
    </w:p>
    <w:p>
      <w:r>
        <w:rPr>
          <w:b/>
        </w:rPr>
        <w:t>Étapes</w:t>
      </w:r>
    </w:p>
    <w:p>
      <w:pPr>
        <w:pStyle w:val="ListNumber"/>
      </w:pPr>
      <w:r>
        <w:rPr>
          <w:b w:val="0"/>
        </w:rPr>
        <w:t>Tout le monde se lave les mains.</w:t>
      </w:r>
    </w:p>
    <w:p>
      <w:pPr>
        <w:pStyle w:val="ListNumber"/>
      </w:pPr>
      <w:r>
        <w:rPr>
          <w:b w:val="0"/>
        </w:rPr>
        <w:t>Les élèves versent l’amande, le sucre et le beurre dans le grand bol et mélangent à la spatule.</w:t>
      </w:r>
    </w:p>
    <w:p>
      <w:pPr>
        <w:pStyle w:val="ListNumber"/>
      </w:pPr>
      <w:r>
        <w:rPr>
          <w:b w:val="0"/>
        </w:rPr>
        <w:t>L’adulte casse les œufs ; les élèves les ajoutent un à un et mélangent.</w:t>
      </w:r>
    </w:p>
    <w:p>
      <w:pPr>
        <w:pStyle w:val="ListNumber"/>
      </w:pPr>
      <w:r>
        <w:rPr>
          <w:b w:val="0"/>
        </w:rPr>
        <w:t>L’adulte déroule un disque ; les élèves étalent la crème en laissant un bord.</w:t>
      </w:r>
    </w:p>
    <w:p>
      <w:pPr>
        <w:pStyle w:val="ListNumber"/>
      </w:pPr>
      <w:r>
        <w:rPr>
          <w:b w:val="0"/>
        </w:rPr>
        <w:t>L’adulte pose le second disque ; un élève dore le dessus au pinceau avec lui.</w:t>
      </w:r>
    </w:p>
    <w:p>
      <w:pPr>
        <w:pStyle w:val="ListNumber"/>
      </w:pPr>
      <w:r>
        <w:rPr>
          <w:b w:val="0"/>
        </w:rPr>
        <w:t>Les élèves décorent à la fourchette : ronds ou vagues.</w:t>
      </w:r>
    </w:p>
    <w:p>
      <w:pPr>
        <w:pStyle w:val="ListNumber"/>
      </w:pPr>
      <w:r>
        <w:rPr>
          <w:b w:val="0"/>
        </w:rPr>
        <w:t>L’adulte seul enfourne et sort la galette, selon les indications de l’emballage de la pâte ; les élèves restent loin du four et attendent qu’elle refroidisse.</w:t>
      </w:r>
    </w:p>
    <w:p>
      <w:r>
        <w:rPr>
          <w:b/>
        </w:rPr>
        <w:t>Variante à la compote de pommes.</w:t>
      </w:r>
      <w:r>
        <w:rPr>
          <w:b w:val="0"/>
        </w:rPr>
        <w:t xml:space="preserve"> La compote remplace la crème d’amande. La pâte feuilletée contient en général du gluten et souvent du beurre. Cette variante ne remplace pas la décision prise avec la direction et la famille, dans le cadre du PAI s’il existe ; lisez aussi les mentions de traces sur l’étiquette.</w:t>
      </w:r>
    </w:p>
    <w:p>
      <w:r>
        <w:rPr>
          <w:b/>
        </w:rPr>
        <w:t>Variante sans cuisine.</w:t>
      </w:r>
      <w:r>
        <w:rPr>
          <w:b w:val="0"/>
        </w:rPr>
        <w:t xml:space="preserve"> Une galette en carton ou en pâte à sel, qui ne se goûte pas, et une galette achetée pour la fête. Si la galette est achetée, l’adulte retire la fève avant de servir, ou la commande sans fève.</w:t>
      </w:r>
    </w:p>
    <w:p>
      <w:r>
        <w:rPr>
          <w:b w:val="0"/>
        </w:rPr>
        <w:t>L’atelier suit les règles de l’école et de la commune pour les ateliers cuisine et les denrées.</w:t>
      </w:r>
    </w:p>
    <w:p>
      <w:pPr>
        <w:pStyle w:val="Heading1"/>
      </w:pPr>
      <w:r>
        <w:t>Le jeu de la galette : règles pour la classe</w:t>
      </w:r>
    </w:p>
    <w:p>
      <w:r>
        <w:rPr>
          <w:b w:val="0"/>
        </w:rPr>
        <w:t>Il n’existe pas de règle officielle. Voici une règle de classe proposée par Prépare Mes Cours :</w:t>
      </w:r>
    </w:p>
    <w:p>
      <w:pPr>
        <w:pStyle w:val="ListBullet"/>
      </w:pPr>
      <w:r>
        <w:rPr>
          <w:b w:val="0"/>
        </w:rPr>
        <w:t>l’adulte coupe autant de parts que d’élèves présents ;</w:t>
      </w:r>
    </w:p>
    <w:p>
      <w:pPr>
        <w:pStyle w:val="ListBullet"/>
      </w:pPr>
      <w:r>
        <w:rPr>
          <w:b w:val="0"/>
        </w:rPr>
        <w:t>il n’y a pas de fève dans la galette servie aux élèves : celle de la classe n’en contient pas, et une galette achetée est servie sans sa fève ;</w:t>
      </w:r>
    </w:p>
    <w:p>
      <w:pPr>
        <w:pStyle w:val="ListBullet"/>
      </w:pPr>
      <w:r>
        <w:rPr>
          <w:b w:val="0"/>
        </w:rPr>
        <w:t>une grande carte « fève » en carton est collée sous une assiette ;</w:t>
      </w:r>
    </w:p>
    <w:p>
      <w:pPr>
        <w:pStyle w:val="ListBullet"/>
      </w:pPr>
      <w:r>
        <w:rPr>
          <w:b w:val="0"/>
        </w:rPr>
        <w:t>l’élève qui la trouve devient roi ou reine, choisit sa couronne et invite un camarade à la porter avec lui ;</w:t>
      </w:r>
    </w:p>
    <w:p>
      <w:pPr>
        <w:pStyle w:val="ListBullet"/>
      </w:pPr>
      <w:r>
        <w:rPr>
          <w:b w:val="0"/>
        </w:rPr>
        <w:t>variante « tout le monde roi » : chaque élève reçoit sa couronne.</w:t>
      </w:r>
    </w:p>
    <w:p>
      <w:r>
        <w:rPr>
          <w:b w:val="0"/>
        </w:rPr>
        <w:t>Le plateau et le jeu collectif gardent leur objectif affiché : partager, se déplacer sur une piste, tenir un rôle.</w:t>
      </w:r>
    </w:p>
    <w:p>
      <w:pPr>
        <w:pStyle w:val="Heading1"/>
      </w:pPr>
      <w:r>
        <w:t>Exemple de fiche de préparation : partager la galette (MS)</w:t>
      </w:r>
    </w:p>
    <w:p>
      <w:r>
        <w:rPr>
          <w:b w:val="0"/>
        </w:rPr>
        <w:t>Cette fiche suit le format de notre fiche de préparation. Les durées sont des repères.</w:t>
      </w:r>
    </w:p>
    <w:p>
      <w:pPr>
        <w:pStyle w:val="ListBullet"/>
      </w:pPr>
      <w:r>
        <w:rPr>
          <w:b/>
        </w:rPr>
        <w:t>Domaine</w:t>
      </w:r>
      <w:r>
        <w:rPr>
          <w:b w:val="0"/>
        </w:rPr>
        <w:t xml:space="preserve"> : L’acquisition des premiers outils mathématiques.</w:t>
      </w:r>
    </w:p>
    <w:p>
      <w:pPr>
        <w:pStyle w:val="ListBullet"/>
      </w:pPr>
      <w:r>
        <w:rPr>
          <w:b/>
        </w:rPr>
        <w:t>Compétence</w:t>
      </w:r>
      <w:r>
        <w:rPr>
          <w:b w:val="0"/>
        </w:rPr>
        <w:t xml:space="preserve"> : Utiliser les nombres pour résoudre des problèmes.</w:t>
      </w:r>
    </w:p>
    <w:p>
      <w:pPr>
        <w:pStyle w:val="ListBullet"/>
      </w:pPr>
      <w:r>
        <w:rPr>
          <w:b/>
        </w:rPr>
        <w:t>Objectif</w:t>
      </w:r>
      <w:r>
        <w:rPr>
          <w:b w:val="0"/>
        </w:rPr>
        <w:t xml:space="preserve"> : « Rechercher la valeur d’une part dans un problème de partage équitable. » (consolidé, p. 44, à partir de 4 ans).</w:t>
      </w:r>
    </w:p>
    <w:p>
      <w:pPr>
        <w:pStyle w:val="ListBullet"/>
      </w:pPr>
      <w:r>
        <w:rPr>
          <w:b/>
        </w:rPr>
        <w:t>Exemple officiel</w:t>
      </w:r>
      <w:r>
        <w:rPr>
          <w:b w:val="0"/>
        </w:rPr>
        <w:t xml:space="preserve"> : « J’ai six gâteaux à partager équitablement entre deux poupées et chacune doit recevoir le plus grand nombre possible de gâteaux » (p. 45).</w:t>
      </w:r>
    </w:p>
    <w:p>
      <w:pPr>
        <w:pStyle w:val="ListBullet"/>
      </w:pPr>
      <w:r>
        <w:rPr>
          <w:b/>
        </w:rPr>
        <w:t>Prérequis</w:t>
      </w:r>
      <w:r>
        <w:rPr>
          <w:b w:val="0"/>
        </w:rPr>
        <w:t xml:space="preserve"> : dénombrer jusqu’à six.</w:t>
      </w:r>
    </w:p>
    <w:p>
      <w:pPr>
        <w:pStyle w:val="ListBullet"/>
      </w:pPr>
      <w:r>
        <w:rPr>
          <w:b/>
        </w:rPr>
        <w:t>Durée</w:t>
      </w:r>
      <w:r>
        <w:rPr>
          <w:b w:val="0"/>
        </w:rPr>
        <w:t xml:space="preserve"> : 30 minutes environ, en atelier de six élèves.</w:t>
      </w:r>
    </w:p>
    <w:p>
      <w:pPr>
        <w:pStyle w:val="ListBullet"/>
      </w:pPr>
      <w:r>
        <w:rPr>
          <w:b/>
        </w:rPr>
        <w:t>Matériel</w:t>
      </w:r>
      <w:r>
        <w:rPr>
          <w:b w:val="0"/>
        </w:rPr>
        <w:t xml:space="preserve"> : deux ou trois poupées et leurs assiettes, six à neuf parts en carton du kit MS, assez grandes pour ne pas être avalées.</w:t>
      </w:r>
    </w:p>
    <w:p>
      <w:pPr>
        <w:pStyle w:val="ListBullet"/>
      </w:pPr>
      <w:r>
        <w:rPr>
          <w:b/>
        </w:rPr>
        <w:t>Situation (5 minutes)</w:t>
      </w:r>
      <w:r>
        <w:rPr>
          <w:b w:val="0"/>
        </w:rPr>
        <w:t xml:space="preserve"> : « Chaque poupée doit avoir autant de parts. »</w:t>
      </w:r>
    </w:p>
    <w:p>
      <w:pPr>
        <w:pStyle w:val="ListBullet"/>
      </w:pPr>
      <w:r>
        <w:rPr>
          <w:b/>
        </w:rPr>
        <w:t>Recherche à deux (10 minutes)</w:t>
      </w:r>
      <w:r>
        <w:rPr>
          <w:b w:val="0"/>
        </w:rPr>
        <w:t xml:space="preserve"> : partager six parts entre deux poupées, puis compter.</w:t>
      </w:r>
    </w:p>
    <w:p>
      <w:pPr>
        <w:pStyle w:val="ListBullet"/>
      </w:pPr>
      <w:r>
        <w:rPr>
          <w:b/>
        </w:rPr>
        <w:t>Mise en commun (10 minutes)</w:t>
      </w:r>
      <w:r>
        <w:rPr>
          <w:b w:val="0"/>
        </w:rPr>
        <w:t xml:space="preserve"> : comparer les façons de faire (un à un, deux par deux).</w:t>
      </w:r>
    </w:p>
    <w:p>
      <w:pPr>
        <w:pStyle w:val="ListBullet"/>
      </w:pPr>
      <w:r>
        <w:rPr>
          <w:b/>
        </w:rPr>
        <w:t>Trace (5 minutes)</w:t>
      </w:r>
      <w:r>
        <w:rPr>
          <w:b w:val="0"/>
        </w:rPr>
        <w:t xml:space="preserve"> : photo des assiettes et phrase dictée à l’adulte.</w:t>
      </w:r>
    </w:p>
    <w:p>
      <w:pPr>
        <w:pStyle w:val="ListBullet"/>
      </w:pPr>
      <w:r>
        <w:rPr>
          <w:b/>
        </w:rPr>
        <w:t>Langage visé</w:t>
      </w:r>
      <w:r>
        <w:rPr>
          <w:b w:val="0"/>
        </w:rPr>
        <w:t xml:space="preserve"> : « autant », « chacun », « pareil », « il en reste ».</w:t>
      </w:r>
    </w:p>
    <w:p>
      <w:pPr>
        <w:pStyle w:val="ListBullet"/>
      </w:pPr>
      <w:r>
        <w:rPr>
          <w:b/>
        </w:rPr>
        <w:t>Différenciation</w:t>
      </w:r>
      <w:r>
        <w:rPr>
          <w:b w:val="0"/>
        </w:rPr>
        <w:t xml:space="preserve"> : quatre parts pour deux poupées, ou neuf pour trois ; une part de plus pour parler du reste.</w:t>
      </w:r>
    </w:p>
    <w:p>
      <w:pPr>
        <w:pStyle w:val="ListBullet"/>
      </w:pPr>
      <w:r>
        <w:rPr>
          <w:b/>
        </w:rPr>
        <w:t>Observation</w:t>
      </w:r>
      <w:r>
        <w:rPr>
          <w:b w:val="0"/>
        </w:rPr>
        <w:t xml:space="preserve"> : distribue-t-il un à un ? Vérifie-t-il seul ?</w:t>
      </w:r>
    </w:p>
    <w:p>
      <w:pPr>
        <w:pStyle w:val="ListBullet"/>
      </w:pPr>
      <w:r>
        <w:rPr>
          <w:b/>
        </w:rPr>
        <w:t>Prolongement</w:t>
      </w:r>
      <w:r>
        <w:rPr>
          <w:b w:val="0"/>
        </w:rPr>
        <w:t xml:space="preserve"> : le chemin de la galette, puis le partage réel de la fête.</w:t>
      </w:r>
    </w:p>
    <w:p>
      <w:r>
        <w:rPr>
          <w:b w:val="0"/>
        </w:rPr>
        <w:t>Voir aussi notre guide de la différenciation pédagogique. Le kit ajoute deux fiches courtes : « Une part pour chacun » (PS) et « Suivre la recette » (GS).</w:t>
      </w:r>
    </w:p>
    <w:p>
      <w:pPr>
        <w:pStyle w:val="Heading2"/>
      </w:pPr>
      <w:r>
        <w:t>Fiche courte PS : une part pour chacun</w:t>
      </w:r>
    </w:p>
    <w:p>
      <w:r>
        <w:rPr>
          <w:b/>
        </w:rPr>
        <w:t>Activité</w:t>
      </w:r>
      <w:r>
        <w:rPr>
          <w:b w:val="0"/>
        </w:rPr>
        <w:t xml:space="preserve"> : « Une part pour chacun » : poser une part en carton devant chaque enfant d’un groupe de 3 ou 4</w:t>
      </w:r>
    </w:p>
    <w:p>
      <w:r>
        <w:rPr>
          <w:b/>
        </w:rPr>
        <w:t>Objectif du programme</w:t>
      </w:r>
      <w:r>
        <w:rPr>
          <w:b w:val="0"/>
        </w:rPr>
        <w:t xml:space="preserve"> : « Constituer une collection (jusqu’à trois, voire quatre objets) d’un cardinal donné. » Exemple : répondre à la consigne « Mets dans chaque boite autant de jetons qu’il y a […] » (p. 37)</w:t>
      </w:r>
    </w:p>
    <w:p>
      <w:r>
        <w:rPr>
          <w:b w:val="0"/>
        </w:rPr>
        <w:t>Matériel : les cartes à constellations et les parts en carton du kit PS, trois ou quatre assiettes.</w:t>
      </w:r>
    </w:p>
    <w:p>
      <w:pPr>
        <w:pStyle w:val="ListNumber"/>
      </w:pPr>
      <w:r>
        <w:rPr>
          <w:b w:val="0"/>
        </w:rPr>
        <w:t>Tirer une carte, compter les points avec le doigt et poser autant d’assiettes.</w:t>
      </w:r>
    </w:p>
    <w:p>
      <w:pPr>
        <w:pStyle w:val="ListNumber"/>
      </w:pPr>
      <w:r>
        <w:rPr>
          <w:b w:val="0"/>
        </w:rPr>
        <w:t>Poser une part devant chaque assiette, une seule à la fois.</w:t>
      </w:r>
    </w:p>
    <w:p>
      <w:pPr>
        <w:pStyle w:val="ListNumber"/>
      </w:pPr>
      <w:r>
        <w:rPr>
          <w:b w:val="0"/>
        </w:rPr>
        <w:t>Dire s’il en manque ou s’il y en a trop ; recommencer avec une autre carte.</w:t>
      </w:r>
    </w:p>
    <w:p>
      <w:r>
        <w:rPr>
          <w:b w:val="0"/>
        </w:rPr>
        <w:t>Langage visé : « une part pour chacun », « il en manque », « autant ».</w:t>
      </w:r>
    </w:p>
    <w:p>
      <w:pPr>
        <w:pStyle w:val="Heading2"/>
      </w:pPr>
      <w:r>
        <w:t>Fiche courte GS : suivre la recette</w:t>
      </w:r>
    </w:p>
    <w:p>
      <w:r>
        <w:rPr>
          <w:b/>
        </w:rPr>
        <w:t>Activité</w:t>
      </w:r>
      <w:r>
        <w:rPr>
          <w:b w:val="0"/>
        </w:rPr>
        <w:t xml:space="preserve"> : Suivre la recette en pictogrammes ; dire ce qui est dangereux : le four chaud, que seul l’adulte ouvre, le couteau, la fève</w:t>
      </w:r>
    </w:p>
    <w:p>
      <w:r>
        <w:rPr>
          <w:b/>
        </w:rPr>
        <w:t>Objectif du programme</w:t>
      </w:r>
      <w:r>
        <w:rPr>
          <w:b w:val="0"/>
        </w:rPr>
        <w:t xml:space="preserve"> : « Construire, fabriquer, réaliser en suivant une recette ou une fiche technique. » ; « Identifier et prévenir les risques liés à certains objets. » Exemple réinvesti : « Rassembler les éléments nécessaires et respecter la chronologie des étapes pour réaliser une soupe froide. » (p. 27)</w:t>
      </w:r>
    </w:p>
    <w:p>
      <w:r>
        <w:rPr>
          <w:b w:val="0"/>
        </w:rPr>
        <w:t>Matériel : les cartes de la recette du kit MS, les bols préparés et pesés par l’adulte, le gabarit photos du kit GS.</w:t>
      </w:r>
    </w:p>
    <w:p>
      <w:pPr>
        <w:pStyle w:val="ListNumber"/>
      </w:pPr>
      <w:r>
        <w:rPr>
          <w:b w:val="0"/>
        </w:rPr>
        <w:t>Lire les pictogrammes avec l’adulte et rassembler le matériel nécessaire.</w:t>
      </w:r>
    </w:p>
    <w:p>
      <w:pPr>
        <w:pStyle w:val="ListNumber"/>
      </w:pPr>
      <w:r>
        <w:rPr>
          <w:b w:val="0"/>
        </w:rPr>
        <w:t>Suivre les étapes une à une et retourner chaque carte terminée.</w:t>
      </w:r>
    </w:p>
    <w:p>
      <w:pPr>
        <w:pStyle w:val="ListNumber"/>
      </w:pPr>
      <w:r>
        <w:rPr>
          <w:b w:val="0"/>
        </w:rPr>
        <w:t>Dire ce qui est dangereux : le four chaud, que seul l’adulte ouvre ; le couteau ; la fève.</w:t>
      </w:r>
    </w:p>
    <w:p>
      <w:r>
        <w:rPr>
          <w:b w:val="0"/>
        </w:rPr>
        <w:t>Trace : photos de chaque étape, puis liste des étapes dictée à l’adulte.</w:t>
      </w:r>
    </w:p>
    <w:p>
      <w:pPr>
        <w:pStyle w:val="Heading1"/>
      </w:pPr>
      <w:r>
        <w:t>Précautions : fève, four, allergies et hygiène</w:t>
      </w:r>
    </w:p>
    <w:p>
      <w:r>
        <w:rPr>
          <w:b/>
        </w:rPr>
        <w:t>Fève et petits objets.</w:t>
      </w:r>
      <w:r>
        <w:rPr>
          <w:b w:val="0"/>
        </w:rPr>
        <w:t xml:space="preserve"> L’annexe 2026 cite les risques « de petits objets qui présentent des risques d’étouffement en cas d’ingestion » (p. 26). Une carte « fève » en carton remplace donc la fève. Si la galette est achetée, l’adulte retire la fève avant de servir, ou la commande sans fève. L’édition 2024 de l’album est vendue avec une fève (notice BnF) : rangez-la hors de portée des PS.</w:t>
      </w:r>
    </w:p>
    <w:p>
      <w:r>
        <w:rPr>
          <w:b/>
        </w:rPr>
        <w:t>Cuisson.</w:t>
      </w:r>
      <w:r>
        <w:rPr>
          <w:b w:val="0"/>
        </w:rPr>
        <w:t xml:space="preserve"> Seul l’adulte ouvre le four, enfourne et sort la galette. Les élèves restent à distance et l’on attend que la galette refroidisse avant de la toucher.</w:t>
      </w:r>
    </w:p>
    <w:p>
      <w:r>
        <w:rPr>
          <w:b/>
        </w:rPr>
        <w:t>Allergies et PAI.</w:t>
      </w:r>
      <w:r>
        <w:rPr>
          <w:b w:val="0"/>
        </w:rPr>
        <w:t xml:space="preserve"> Une galette contient en général du gluten (farine de blé), des œufs, du lait (beurre) et des fruits à coque (amandes). Avant tout atelier cuisine ou toute dégustation, vérifiez avec la direction les allergies connues et les projets d’accueil individualisés (PAI), et informez les familles.</w:t>
      </w:r>
    </w:p>
    <w:p>
      <w:r>
        <w:rPr>
          <w:b/>
        </w:rPr>
        <w:t>Hygiène.</w:t>
      </w:r>
      <w:r>
        <w:rPr>
          <w:b w:val="0"/>
        </w:rPr>
        <w:t xml:space="preserve"> On se lave les mains avant de cuisiner, comme le prévoit l’objectif cité plus haut. Notre conseil : pas de dégustation de pâte crue ni d’œuf cru.</w:t>
      </w:r>
    </w:p>
    <w:p>
      <w:r>
        <w:rPr>
          <w:b/>
        </w:rPr>
        <w:t>Laïcité.</w:t>
      </w:r>
      <w:r>
        <w:rPr>
          <w:b w:val="0"/>
        </w:rPr>
        <w:t xml:space="preserve"> Le Vademecum (fiche 17) demande, pour une fête sécularisée comme Noël, qu’aucun signe ni emblème religieux ne soit installé ; nous appliquons la même règle à la fête de la galette. Voir le Vademecum « La laïcité à l’École », p. 95-96.</w:t>
      </w:r>
    </w:p>
    <w:p>
      <w:r>
        <w:rPr>
          <w:b/>
        </w:rPr>
        <w:t>Vivre ensemble.</w:t>
      </w:r>
      <w:r>
        <w:rPr>
          <w:b w:val="0"/>
        </w:rPr>
        <w:t xml:space="preserve"> Toutes les familles ne partagent pas cette tradition : personne n’est obligé de goûter.</w:t>
      </w:r>
    </w:p>
    <w:p>
      <w:pPr>
        <w:pStyle w:val="Heading1"/>
      </w:pPr>
      <w:r>
        <w:t>Sources officielles</w:t>
      </w:r>
    </w:p>
    <w:p>
      <w:r>
        <w:rPr>
          <w:b w:val="0"/>
        </w:rPr>
        <w:t>Documents lus le 23 octobre 2026 :</w:t>
      </w:r>
    </w:p>
    <w:p>
      <w:pPr>
        <w:pStyle w:val="ListBullet"/>
      </w:pPr>
      <w:r>
        <w:rPr>
          <w:b w:val="0"/>
        </w:rPr>
        <w:t>BO n° 19 du 7 mai 2026 : https://www.education.gouv.fr/sites/default/files/document/boenjs19okpdf-516110.pdf : arrêté du 16 avril 2026 fixant le programme de l’école maternelle ;</w:t>
      </w:r>
    </w:p>
    <w:p>
      <w:pPr>
        <w:pStyle w:val="ListBullet"/>
      </w:pPr>
      <w:r>
        <w:rPr>
          <w:b w:val="0"/>
        </w:rPr>
        <w:t>annexe : programme d’enseignement de l’école maternelle (cycle 1), 2026 : https://www.education.gouv.fr/sites/default/files/document/annexe-programme-d-enseignement-de-l-ecole-maternelle-cycle-1-516107.pdf ;</w:t>
      </w:r>
    </w:p>
    <w:p>
      <w:pPr>
        <w:pStyle w:val="ListBullet"/>
      </w:pPr>
      <w:r>
        <w:rPr>
          <w:b w:val="0"/>
        </w:rPr>
        <w:t>programme consolidé de l’école maternelle, Éduscol : https://eduscol.education.gouv.fr/sites/default/files/document/programme-cycle-1-consolide-127565.pdf ;</w:t>
      </w:r>
    </w:p>
    <w:p>
      <w:pPr>
        <w:pStyle w:val="ListBullet"/>
      </w:pPr>
      <w:r>
        <w:rPr>
          <w:b w:val="0"/>
        </w:rPr>
        <w:t>BO n° 41 du 31 octobre 2024 : https://www.education.gouv.fr/sites/default/files/document/Bulletin%20officiel%20n%C2%B0%2041%20du%2031%20octobre%202024-404808.pdf : langage et premiers outils mathématiques ;</w:t>
      </w:r>
    </w:p>
    <w:p>
      <w:pPr>
        <w:pStyle w:val="ListBullet"/>
      </w:pPr>
      <w:r>
        <w:rPr>
          <w:b w:val="0"/>
        </w:rPr>
        <w:t>notice BnF de « Roule Galette » (1950) : https://catalogue.bnf.fr/ark:/12148/cb31906091n ;</w:t>
      </w:r>
    </w:p>
    <w:p>
      <w:pPr>
        <w:pStyle w:val="ListBullet"/>
      </w:pPr>
      <w:r>
        <w:rPr>
          <w:b w:val="0"/>
        </w:rPr>
        <w:t>Vademecum « La laïcité à l’École », Éduscol : https://eduscol.education.gouv.fr/sites/default/files/document/vademecum-la-laicite-l-ecole-67884.pdf ;</w:t>
      </w:r>
    </w:p>
    <w:p>
      <w:pPr>
        <w:pStyle w:val="ListBullet"/>
      </w:pPr>
      <w:r>
        <w:rPr>
          <w:b w:val="0"/>
        </w:rPr>
        <w:t>calendrier scolaire officiel, jeu de données du ministère : https://data.education.gouv.fr/explore/dataset/fr-en-calendrier-scolaire/.</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Galette des rois en maternelle : guide enseignant modifiable</dc:title>
  <dc:subject/>
  <dc:creator>Prépare Mes Cours</dc:creator>
  <cp:keywords/>
  <dc:description>generated by python-docx</dc:description>
  <cp:lastModifiedBy>Prépare Mes Cours</cp:lastModifiedBy>
  <cp:revision>1</cp:revision>
  <dcterms:created xsi:type="dcterms:W3CDTF">2026-10-23T00:00:00Z</dcterms:created>
  <dcterms:modified xsi:type="dcterms:W3CDTF">2026-10-23T00:00:00Z</dcterms:modified>
  <cp:category/>
</cp:coreProperties>
</file>